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C9D57" w14:textId="77777777" w:rsidR="00B635B5" w:rsidRPr="00B635B5" w:rsidRDefault="00B635B5" w:rsidP="00F372D7">
      <w:pPr>
        <w:pStyle w:val="Default"/>
        <w:rPr>
          <w:sz w:val="28"/>
          <w:szCs w:val="28"/>
        </w:rPr>
      </w:pPr>
    </w:p>
    <w:p w14:paraId="4D2CED6B" w14:textId="247193D1" w:rsidR="00B635B5" w:rsidRDefault="00B635B5" w:rsidP="00F372D7">
      <w:pPr>
        <w:pStyle w:val="Default"/>
        <w:rPr>
          <w:b/>
          <w:bCs/>
          <w:sz w:val="28"/>
          <w:szCs w:val="28"/>
        </w:rPr>
      </w:pPr>
      <w:r w:rsidRPr="00B635B5">
        <w:rPr>
          <w:b/>
          <w:bCs/>
          <w:sz w:val="28"/>
          <w:szCs w:val="28"/>
        </w:rPr>
        <w:t>МЕТОДИЧЕСКИЙ ПОДХОД К СОЗДАНИЮ ЗЕЛЕНОГО ЛЕСОПАРКОВОГО ПОЯСА</w:t>
      </w:r>
    </w:p>
    <w:p w14:paraId="34408F05" w14:textId="2BBB8158" w:rsidR="00B635B5" w:rsidRDefault="00B635B5" w:rsidP="00F372D7">
      <w:pPr>
        <w:pStyle w:val="Default"/>
        <w:rPr>
          <w:b/>
          <w:bCs/>
          <w:sz w:val="28"/>
          <w:szCs w:val="28"/>
        </w:rPr>
      </w:pPr>
    </w:p>
    <w:p w14:paraId="0A2AB324" w14:textId="77777777" w:rsidR="00B635B5" w:rsidRDefault="00B635B5" w:rsidP="00F372D7">
      <w:pPr>
        <w:pStyle w:val="Default"/>
      </w:pPr>
    </w:p>
    <w:p w14:paraId="535DCE3B" w14:textId="7AA09E28" w:rsidR="00B635B5" w:rsidRPr="009A3320" w:rsidRDefault="00B635B5" w:rsidP="00F372D7">
      <w:pPr>
        <w:spacing w:after="0" w:line="240" w:lineRule="auto"/>
        <w:ind w:firstLine="567"/>
        <w:rPr>
          <w:rFonts w:ascii="Times New Roman" w:hAnsi="Times New Roman" w:cs="Times New Roman"/>
          <w:sz w:val="28"/>
          <w:szCs w:val="28"/>
        </w:rPr>
      </w:pPr>
      <w:r>
        <w:t xml:space="preserve"> </w:t>
      </w:r>
      <w:r w:rsidRPr="009A3320">
        <w:rPr>
          <w:rFonts w:ascii="Times New Roman" w:hAnsi="Times New Roman" w:cs="Times New Roman"/>
          <w:sz w:val="28"/>
          <w:szCs w:val="28"/>
        </w:rPr>
        <w:t xml:space="preserve">Создание лесопарковых зеленых поясов определено главой IX.1 Федерального закона «Об охране окружающей среды» для целей ограничения режима природопользования и хозяйствования и сохранения естественных экологических систем. Лесопарковые зеленые пояса являются новой формой реализации права жителей на благоприятную окружающую среду. В зоне лесостепи к функционированию лесопарковых зеленых поясов предъявляются важные биоклиматические и природоохранные требования: зимой – защита от неблагоприятных ветров; летом – защита от пыльных бурь, суховеев, от избыточной инсоляции, закрепление склонов, оврагов, почв. Лесопарковые зеленые пояса должны нести значительную экосистемную нагрузку. Важнейшими показателями успешного функционирования лесопаркового зелёного пояса являются его размещение, конфигурация и размер. Научно обосновано использование четырех критериев для определения приоритетных участков для включения в состав лесопаркового зеленого пояса. Критерий локализации, являющийся основанием для включения участка в состав лесопаркового зеленого пояса, отражает удаленность участка (приближенность) от черты городской агломерации. Критерий экосистемной нагрузки отражает выполнение участком экологических функций. Критерий «Тип участка» служит для определения происхождения участка и оценки его отличительных признаков. Критерий «Наличие обременений» служит индикатором несовместимости участка с целями создания лесопаркового зеленого пояса. Отбор участков для включения в состав лесопаркового зелёного пояса осуществляется с учётом мнения </w:t>
      </w:r>
      <w:r w:rsidR="009A3320">
        <w:rPr>
          <w:rFonts w:ascii="Times New Roman" w:hAnsi="Times New Roman" w:cs="Times New Roman"/>
          <w:sz w:val="28"/>
          <w:szCs w:val="28"/>
        </w:rPr>
        <w:t xml:space="preserve">профильных </w:t>
      </w:r>
      <w:r w:rsidRPr="009A3320">
        <w:rPr>
          <w:rFonts w:ascii="Times New Roman" w:hAnsi="Times New Roman" w:cs="Times New Roman"/>
          <w:sz w:val="28"/>
          <w:szCs w:val="28"/>
        </w:rPr>
        <w:t xml:space="preserve">экспертов по результатам их анкетирования. Предложенный методический подход к выявлению участков для включения в состав лесопаркового зелёного пояса может быть использован на всех уровнях </w:t>
      </w:r>
      <w:proofErr w:type="spellStart"/>
      <w:r w:rsidRPr="009A3320">
        <w:rPr>
          <w:rFonts w:ascii="Times New Roman" w:hAnsi="Times New Roman" w:cs="Times New Roman"/>
          <w:sz w:val="28"/>
          <w:szCs w:val="28"/>
        </w:rPr>
        <w:t>лесоуправления</w:t>
      </w:r>
      <w:proofErr w:type="spellEnd"/>
      <w:r w:rsidRPr="009A3320">
        <w:rPr>
          <w:rFonts w:ascii="Times New Roman" w:hAnsi="Times New Roman" w:cs="Times New Roman"/>
          <w:sz w:val="28"/>
          <w:szCs w:val="28"/>
        </w:rPr>
        <w:t xml:space="preserve"> региональными органами исполнительной власти для обоснования управленческих решений по созданию «зеленого щита» территорий.</w:t>
      </w:r>
    </w:p>
    <w:p w14:paraId="6F5E22EB" w14:textId="483F27E7"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Климатические изменения и возрастающая антропогенная нагрузка ставят новые экологические вызовы в части загрязнения окружающей среды и ухудшения качества жизни вследствие разрушения лесных экосистем и деградации пригородных лесов в Р</w:t>
      </w:r>
      <w:r w:rsidR="009A3320">
        <w:rPr>
          <w:rFonts w:ascii="Times New Roman" w:hAnsi="Times New Roman" w:cs="Times New Roman"/>
          <w:sz w:val="28"/>
          <w:szCs w:val="28"/>
        </w:rPr>
        <w:t>еспублике Дагестан</w:t>
      </w:r>
      <w:r w:rsidRPr="009A3320">
        <w:rPr>
          <w:rFonts w:ascii="Times New Roman" w:hAnsi="Times New Roman" w:cs="Times New Roman"/>
          <w:sz w:val="28"/>
          <w:szCs w:val="28"/>
        </w:rPr>
        <w:t xml:space="preserve">. </w:t>
      </w:r>
    </w:p>
    <w:p w14:paraId="096E8E6E" w14:textId="7106183F"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Правительство России, осознавая значимость этих проблем, в 2016 году дополнило Федеральный закон «Об охране окружающей среды» главой IX.1, вступившей в силу c 1 января 2017 г., – «Лесопарковые зеленые пояса». </w:t>
      </w:r>
    </w:p>
    <w:p w14:paraId="36648B65" w14:textId="6CB2C9DD"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Ключевой идеей этого изменения стало законодательное подтверждение того, что создаваемые лесопарковые зеленые пояса – это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w:t>
      </w:r>
      <w:r w:rsidRPr="009A3320">
        <w:rPr>
          <w:rFonts w:ascii="Times New Roman" w:hAnsi="Times New Roman" w:cs="Times New Roman"/>
          <w:sz w:val="28"/>
          <w:szCs w:val="28"/>
        </w:rPr>
        <w:lastRenderedPageBreak/>
        <w:t xml:space="preserve">к указанным лесам или составляют с ними единую естественную экологическую систему. </w:t>
      </w:r>
    </w:p>
    <w:p w14:paraId="63B12A1C" w14:textId="77777777"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Цели создания зеленых поясов просты и крайне актуальны, это: </w:t>
      </w:r>
    </w:p>
    <w:p w14:paraId="1EA95488" w14:textId="77777777"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 улучшение атмосферы городов; </w:t>
      </w:r>
    </w:p>
    <w:p w14:paraId="611CAF82" w14:textId="77777777"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 поддержка здоровой окружающей среды за счет эмиссии кислорода; </w:t>
      </w:r>
    </w:p>
    <w:p w14:paraId="248600B8" w14:textId="6D3B4C8F"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 контроль за потеплением и обезвоживанием территорий; </w:t>
      </w:r>
    </w:p>
    <w:p w14:paraId="43D65B4D" w14:textId="77777777"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 ограничение разрастания городов. </w:t>
      </w:r>
    </w:p>
    <w:p w14:paraId="028E2592" w14:textId="6DA0559C" w:rsidR="00B635B5"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Неоценимо рекреационное значение лесов зеленых лесопарковых зон при организации отдыха, строительстве санаториев, домов отдыха, пансионатов, туристских баз, дачных поселков и др. Кроме того, эти леса – источник </w:t>
      </w:r>
      <w:proofErr w:type="spellStart"/>
      <w:r w:rsidRPr="009A3320">
        <w:rPr>
          <w:rFonts w:ascii="Times New Roman" w:hAnsi="Times New Roman" w:cs="Times New Roman"/>
          <w:sz w:val="28"/>
          <w:szCs w:val="28"/>
        </w:rPr>
        <w:t>недревесных</w:t>
      </w:r>
      <w:proofErr w:type="spellEnd"/>
      <w:r w:rsidRPr="009A3320">
        <w:rPr>
          <w:rFonts w:ascii="Times New Roman" w:hAnsi="Times New Roman" w:cs="Times New Roman"/>
          <w:sz w:val="28"/>
          <w:szCs w:val="28"/>
        </w:rPr>
        <w:t xml:space="preserve"> лесных ресурсов и древесины от рубок ухода.</w:t>
      </w:r>
    </w:p>
    <w:p w14:paraId="10AF19A6" w14:textId="3B014685"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Законодательство России отводит вопросам создания и использования лесопарковых зеленых поясов статью 62.1 – 62.5, предусматривая особый статус этих территорий. В лесопарковых зеленых поясах устанавливается ограниченный режим природопользования и иной хозяйственной деятельности. </w:t>
      </w:r>
    </w:p>
    <w:p w14:paraId="2877C029" w14:textId="3AFB381B"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Нарушение правил использования лесов в лесопарковом зеленом поясе влечет наложение административного штрафа на граждан до пяти тысяч рублей, на юридических лиц – до пятисот тысяч рублей. </w:t>
      </w:r>
    </w:p>
    <w:p w14:paraId="266BB2B5" w14:textId="77777777"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Работы по созданию ЛЗП на региональном уровне реализуются поэтапно. </w:t>
      </w:r>
    </w:p>
    <w:p w14:paraId="0CB389F9" w14:textId="637F1FCD"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Во-первых, научно обосновываются критерии выделения и порядок установления границ лесопаркового зеленого пояса вокруг областных административных центров субъектов РФ с учетом действующего лесного, градостроительного и земельного законодательств. </w:t>
      </w:r>
    </w:p>
    <w:p w14:paraId="5EC0BC1E" w14:textId="454B0358"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Во-вторых, осуществляется подготовка проектов нормативно-правовых актов, определяющих правовой режим хозяйственной и иной деятельности, включая использование, охрану, защиту и воспроизводство лесов ЛЗП. </w:t>
      </w:r>
    </w:p>
    <w:p w14:paraId="22FDC09D" w14:textId="2E529910"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В-третьих, осуществляется подготовка проектов нормативно-правовых актов, определяющих правовой режим хозяйственной и иной деятельности, </w:t>
      </w:r>
      <w:bookmarkStart w:id="0" w:name="_GoBack"/>
      <w:r w:rsidRPr="009A3320">
        <w:rPr>
          <w:rFonts w:ascii="Times New Roman" w:hAnsi="Times New Roman" w:cs="Times New Roman"/>
          <w:sz w:val="28"/>
          <w:szCs w:val="28"/>
        </w:rPr>
        <w:t xml:space="preserve">включая использование, охрану, защиту и воспроизводство лесов ЛЗП. </w:t>
      </w:r>
    </w:p>
    <w:bookmarkEnd w:id="0"/>
    <w:p w14:paraId="7BD30838" w14:textId="31C6D062"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В-четвертых, разрабатывается порядок изъятия земель из состава ЛЗП и их компенсации. </w:t>
      </w:r>
    </w:p>
    <w:p w14:paraId="69EF4D98" w14:textId="02D8FF4F"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В-пятых, предусматриваются меры пожарной безопасности, методика оценки степени загрязнения, захламления и благополучия окружающей среды. </w:t>
      </w:r>
    </w:p>
    <w:p w14:paraId="1C80A6CC" w14:textId="59C72801"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В-шестых, осуществляется проектирование функциональных зон и состава ЛЗП с учетом категорий земель и их целевого назначения </w:t>
      </w:r>
    </w:p>
    <w:p w14:paraId="70A7A0F8" w14:textId="0E8BAD24"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В-седьмых, проводятся работы по созданию, сохранению, эксплуатации лесопаркового зеленого пояса.</w:t>
      </w:r>
    </w:p>
    <w:p w14:paraId="26F04691" w14:textId="77777777"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Отбор участков для включения в состав ЛЗП осуществляется на основании экспертной оценки представителей: </w:t>
      </w:r>
    </w:p>
    <w:p w14:paraId="6ACFE97D" w14:textId="77777777"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 органов исполнительной власти региона; </w:t>
      </w:r>
    </w:p>
    <w:p w14:paraId="453D3ED2" w14:textId="77777777"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 контрольно-надзорных органов региона; </w:t>
      </w:r>
    </w:p>
    <w:p w14:paraId="599FD308" w14:textId="77777777"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 науки и отраслевого образования региона; </w:t>
      </w:r>
    </w:p>
    <w:p w14:paraId="53F474CC" w14:textId="51D07B38"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общественности.</w:t>
      </w:r>
    </w:p>
    <w:p w14:paraId="71152857" w14:textId="2A541FC9"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lastRenderedPageBreak/>
        <w:t xml:space="preserve">Исходной информацией для проведения экспертизы и отбора участков для включения в состав лесопаркового зеленого пояса является банк картографических и описательных данных на исследуемую территорию: </w:t>
      </w:r>
    </w:p>
    <w:p w14:paraId="53B97EED" w14:textId="77777777" w:rsidR="00930E7A" w:rsidRPr="009A3320"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xml:space="preserve">- материалы лесоустройства региона; </w:t>
      </w:r>
    </w:p>
    <w:p w14:paraId="4613EE75" w14:textId="3958A171" w:rsidR="00930E7A" w:rsidRDefault="00930E7A" w:rsidP="00F372D7">
      <w:pPr>
        <w:spacing w:after="0" w:line="240" w:lineRule="auto"/>
        <w:ind w:firstLine="567"/>
        <w:rPr>
          <w:rFonts w:ascii="Times New Roman" w:hAnsi="Times New Roman" w:cs="Times New Roman"/>
          <w:sz w:val="28"/>
          <w:szCs w:val="28"/>
        </w:rPr>
      </w:pPr>
      <w:r w:rsidRPr="009A3320">
        <w:rPr>
          <w:rFonts w:ascii="Times New Roman" w:hAnsi="Times New Roman" w:cs="Times New Roman"/>
          <w:sz w:val="28"/>
          <w:szCs w:val="28"/>
        </w:rPr>
        <w:t>- пакет топографических и тематических (геоморфологических, гидрографических, почвенных, геоботанических и др.) карт разного масштаба с сопутствующей информацией. В состав ЛЗП должны включаться наиболее ценные лесные массивы или их части. В соответствии с действующим законодательством, в состав ЛЗП включаются участки,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14:paraId="4C5521E6" w14:textId="0BB1C4C1" w:rsidR="00382432" w:rsidRPr="003E7314" w:rsidRDefault="00382432" w:rsidP="00F372D7">
      <w:pPr>
        <w:spacing w:after="0" w:line="240" w:lineRule="auto"/>
        <w:ind w:firstLine="567"/>
        <w:rPr>
          <w:rFonts w:ascii="Times New Roman" w:hAnsi="Times New Roman" w:cs="Times New Roman"/>
          <w:sz w:val="28"/>
          <w:szCs w:val="28"/>
        </w:rPr>
      </w:pPr>
      <w:r w:rsidRPr="003E7314">
        <w:rPr>
          <w:rFonts w:ascii="Times New Roman" w:hAnsi="Times New Roman" w:cs="Times New Roman"/>
          <w:sz w:val="28"/>
          <w:szCs w:val="28"/>
        </w:rPr>
        <w:t>Статья 62.2 Федерального закона «Об охране окружающей среды» описывает порядок создание лесопаркового пояса.</w:t>
      </w:r>
      <w:r w:rsidR="003E7314">
        <w:rPr>
          <w:rFonts w:ascii="Times New Roman" w:hAnsi="Times New Roman" w:cs="Times New Roman"/>
          <w:sz w:val="28"/>
          <w:szCs w:val="28"/>
        </w:rPr>
        <w:t xml:space="preserve"> </w:t>
      </w:r>
      <w:r w:rsidRPr="003E7314">
        <w:rPr>
          <w:rFonts w:ascii="Times New Roman" w:hAnsi="Times New Roman" w:cs="Times New Roman"/>
          <w:sz w:val="28"/>
          <w:szCs w:val="28"/>
        </w:rPr>
        <w:t>В соответствии с данной статьей некоммерческие организации, органы государственной власти или местного самоуправления могут обратиться с ходатайством о создании лесопаркового зеленого</w:t>
      </w:r>
      <w:r w:rsidR="003E7314">
        <w:rPr>
          <w:rFonts w:ascii="Times New Roman" w:hAnsi="Times New Roman" w:cs="Times New Roman"/>
          <w:sz w:val="28"/>
          <w:szCs w:val="28"/>
        </w:rPr>
        <w:t xml:space="preserve"> </w:t>
      </w:r>
      <w:r w:rsidRPr="003E7314">
        <w:rPr>
          <w:rFonts w:ascii="Times New Roman" w:hAnsi="Times New Roman" w:cs="Times New Roman"/>
          <w:sz w:val="28"/>
          <w:szCs w:val="28"/>
        </w:rPr>
        <w:t xml:space="preserve">пояса в </w:t>
      </w:r>
      <w:r w:rsidR="003E7314">
        <w:rPr>
          <w:rFonts w:ascii="Times New Roman" w:hAnsi="Times New Roman" w:cs="Times New Roman"/>
          <w:sz w:val="28"/>
          <w:szCs w:val="28"/>
        </w:rPr>
        <w:t>О</w:t>
      </w:r>
      <w:r w:rsidRPr="003E7314">
        <w:rPr>
          <w:rFonts w:ascii="Times New Roman" w:hAnsi="Times New Roman" w:cs="Times New Roman"/>
          <w:sz w:val="28"/>
          <w:szCs w:val="28"/>
        </w:rPr>
        <w:t>бщественную палату того или иного субъекта Российской Федерации,</w:t>
      </w:r>
      <w:r w:rsidR="003E7314">
        <w:rPr>
          <w:rFonts w:ascii="Times New Roman" w:hAnsi="Times New Roman" w:cs="Times New Roman"/>
          <w:sz w:val="28"/>
          <w:szCs w:val="28"/>
        </w:rPr>
        <w:t xml:space="preserve"> </w:t>
      </w:r>
      <w:r w:rsidRPr="003E7314">
        <w:rPr>
          <w:rFonts w:ascii="Times New Roman" w:hAnsi="Times New Roman" w:cs="Times New Roman"/>
          <w:sz w:val="28"/>
          <w:szCs w:val="28"/>
        </w:rPr>
        <w:t>на котором планируется такое создание,</w:t>
      </w:r>
    </w:p>
    <w:p w14:paraId="7B46097B" w14:textId="758757B9" w:rsidR="003E7314" w:rsidRDefault="00382432" w:rsidP="00F372D7">
      <w:pPr>
        <w:spacing w:after="0" w:line="240" w:lineRule="auto"/>
        <w:ind w:firstLine="567"/>
        <w:rPr>
          <w:rFonts w:ascii="Times New Roman" w:hAnsi="Times New Roman" w:cs="Times New Roman"/>
          <w:sz w:val="28"/>
          <w:szCs w:val="28"/>
        </w:rPr>
      </w:pPr>
      <w:r w:rsidRPr="003E7314">
        <w:rPr>
          <w:rFonts w:ascii="Times New Roman" w:hAnsi="Times New Roman" w:cs="Times New Roman"/>
          <w:sz w:val="28"/>
          <w:szCs w:val="28"/>
        </w:rPr>
        <w:t xml:space="preserve">После поступления ходатайства в течение 30 дней </w:t>
      </w:r>
      <w:r w:rsidR="003E7314">
        <w:rPr>
          <w:rFonts w:ascii="Times New Roman" w:hAnsi="Times New Roman" w:cs="Times New Roman"/>
          <w:sz w:val="28"/>
          <w:szCs w:val="28"/>
        </w:rPr>
        <w:t>О</w:t>
      </w:r>
      <w:r w:rsidRPr="003E7314">
        <w:rPr>
          <w:rFonts w:ascii="Times New Roman" w:hAnsi="Times New Roman" w:cs="Times New Roman"/>
          <w:sz w:val="28"/>
          <w:szCs w:val="28"/>
        </w:rPr>
        <w:t>бщественная палата проводит общественные слушания, по результатам которого подготавливает протокол,</w:t>
      </w:r>
      <w:r w:rsidR="003E7314">
        <w:rPr>
          <w:rFonts w:ascii="Times New Roman" w:hAnsi="Times New Roman" w:cs="Times New Roman"/>
          <w:sz w:val="28"/>
          <w:szCs w:val="28"/>
        </w:rPr>
        <w:t xml:space="preserve"> </w:t>
      </w:r>
      <w:r w:rsidRPr="003E7314">
        <w:rPr>
          <w:rFonts w:ascii="Times New Roman" w:hAnsi="Times New Roman" w:cs="Times New Roman"/>
          <w:sz w:val="28"/>
          <w:szCs w:val="28"/>
        </w:rPr>
        <w:t>содержащий обобщенную информацию о слушаниях и мнения их участников.</w:t>
      </w:r>
    </w:p>
    <w:p w14:paraId="2E21543C" w14:textId="228B859E" w:rsidR="003E7314" w:rsidRDefault="00382432" w:rsidP="00F372D7">
      <w:pPr>
        <w:spacing w:after="0" w:line="240" w:lineRule="auto"/>
        <w:ind w:firstLine="567"/>
        <w:rPr>
          <w:rFonts w:ascii="Times New Roman" w:hAnsi="Times New Roman" w:cs="Times New Roman"/>
          <w:sz w:val="28"/>
          <w:szCs w:val="28"/>
        </w:rPr>
      </w:pPr>
      <w:r w:rsidRPr="003E7314">
        <w:rPr>
          <w:rFonts w:ascii="Times New Roman" w:hAnsi="Times New Roman" w:cs="Times New Roman"/>
          <w:sz w:val="28"/>
          <w:szCs w:val="28"/>
        </w:rPr>
        <w:t>В случае одобрения создания лесопаркового зеленого пояса, соответствующее ходатайство и протокол слушаний в течение 10 дней со дня их обнародования направляются в законодательный орган государственной власти субъекта</w:t>
      </w:r>
      <w:r w:rsidR="003E7314">
        <w:rPr>
          <w:rFonts w:ascii="Times New Roman" w:hAnsi="Times New Roman" w:cs="Times New Roman"/>
          <w:sz w:val="28"/>
          <w:szCs w:val="28"/>
        </w:rPr>
        <w:t xml:space="preserve"> </w:t>
      </w:r>
      <w:r w:rsidRPr="003E7314">
        <w:rPr>
          <w:rFonts w:ascii="Times New Roman" w:hAnsi="Times New Roman" w:cs="Times New Roman"/>
          <w:sz w:val="28"/>
          <w:szCs w:val="28"/>
        </w:rPr>
        <w:t>Российской Федерации, который принимает решение о его создании либо об отказе в создании.</w:t>
      </w:r>
    </w:p>
    <w:p w14:paraId="18364F1C" w14:textId="1789CC88" w:rsidR="00382432" w:rsidRPr="003E7314" w:rsidRDefault="00382432" w:rsidP="00F372D7">
      <w:pPr>
        <w:spacing w:after="0" w:line="240" w:lineRule="auto"/>
        <w:ind w:firstLine="567"/>
        <w:rPr>
          <w:rFonts w:ascii="Times New Roman" w:hAnsi="Times New Roman" w:cs="Times New Roman"/>
          <w:sz w:val="28"/>
          <w:szCs w:val="28"/>
        </w:rPr>
      </w:pPr>
      <w:r w:rsidRPr="003E7314">
        <w:rPr>
          <w:rFonts w:ascii="Times New Roman" w:hAnsi="Times New Roman" w:cs="Times New Roman"/>
          <w:sz w:val="28"/>
          <w:szCs w:val="28"/>
        </w:rPr>
        <w:t>Если по итогу общественных слушаний создание пояса не было получено</w:t>
      </w:r>
      <w:r w:rsidR="003E7314">
        <w:rPr>
          <w:rFonts w:ascii="Times New Roman" w:hAnsi="Times New Roman" w:cs="Times New Roman"/>
          <w:sz w:val="28"/>
          <w:szCs w:val="28"/>
        </w:rPr>
        <w:t xml:space="preserve"> </w:t>
      </w:r>
      <w:r w:rsidRPr="003E7314">
        <w:rPr>
          <w:rFonts w:ascii="Times New Roman" w:hAnsi="Times New Roman" w:cs="Times New Roman"/>
          <w:sz w:val="28"/>
          <w:szCs w:val="28"/>
        </w:rPr>
        <w:t>о</w:t>
      </w:r>
      <w:r w:rsidR="003E7314">
        <w:rPr>
          <w:rFonts w:ascii="Times New Roman" w:hAnsi="Times New Roman" w:cs="Times New Roman"/>
          <w:sz w:val="28"/>
          <w:szCs w:val="28"/>
        </w:rPr>
        <w:t>д</w:t>
      </w:r>
      <w:r w:rsidRPr="003E7314">
        <w:rPr>
          <w:rFonts w:ascii="Times New Roman" w:hAnsi="Times New Roman" w:cs="Times New Roman"/>
          <w:sz w:val="28"/>
          <w:szCs w:val="28"/>
        </w:rPr>
        <w:t>о</w:t>
      </w:r>
      <w:r w:rsidR="003E7314">
        <w:rPr>
          <w:rFonts w:ascii="Times New Roman" w:hAnsi="Times New Roman" w:cs="Times New Roman"/>
          <w:sz w:val="28"/>
          <w:szCs w:val="28"/>
        </w:rPr>
        <w:t>б</w:t>
      </w:r>
      <w:r w:rsidRPr="003E7314">
        <w:rPr>
          <w:rFonts w:ascii="Times New Roman" w:hAnsi="Times New Roman" w:cs="Times New Roman"/>
          <w:sz w:val="28"/>
          <w:szCs w:val="28"/>
        </w:rPr>
        <w:t>рение, ходатайство с протоколом направляется заявителю также в течение</w:t>
      </w:r>
      <w:r w:rsidR="003E7314">
        <w:rPr>
          <w:rFonts w:ascii="Times New Roman" w:hAnsi="Times New Roman" w:cs="Times New Roman"/>
          <w:sz w:val="28"/>
          <w:szCs w:val="28"/>
        </w:rPr>
        <w:t xml:space="preserve"> </w:t>
      </w:r>
      <w:r w:rsidRPr="003E7314">
        <w:rPr>
          <w:rFonts w:ascii="Times New Roman" w:hAnsi="Times New Roman" w:cs="Times New Roman"/>
          <w:sz w:val="28"/>
          <w:szCs w:val="28"/>
        </w:rPr>
        <w:t>10 дней со дня публикации в информационно-телекоммуникационной сети Интернет. Пункт 8 настоящий статьи предусматривает срок, а именно 180 дней,</w:t>
      </w:r>
      <w:r w:rsidR="003E7314">
        <w:rPr>
          <w:rFonts w:ascii="Times New Roman" w:hAnsi="Times New Roman" w:cs="Times New Roman"/>
          <w:sz w:val="28"/>
          <w:szCs w:val="28"/>
        </w:rPr>
        <w:t xml:space="preserve"> </w:t>
      </w:r>
      <w:r w:rsidRPr="003E7314">
        <w:rPr>
          <w:rFonts w:ascii="Times New Roman" w:hAnsi="Times New Roman" w:cs="Times New Roman"/>
          <w:sz w:val="28"/>
          <w:szCs w:val="28"/>
        </w:rPr>
        <w:t>в течение которого уполномоченный орган государственной власти соответствующего субъекта Российской Федерации должен установить границы лесопаркового зеленого пояса, которые подлежат включению в Единый государственный</w:t>
      </w:r>
      <w:r w:rsidR="003E7314">
        <w:rPr>
          <w:rFonts w:ascii="Times New Roman" w:hAnsi="Times New Roman" w:cs="Times New Roman"/>
          <w:sz w:val="28"/>
          <w:szCs w:val="28"/>
        </w:rPr>
        <w:t xml:space="preserve"> </w:t>
      </w:r>
      <w:r w:rsidRPr="003E7314">
        <w:rPr>
          <w:rFonts w:ascii="Times New Roman" w:hAnsi="Times New Roman" w:cs="Times New Roman"/>
          <w:sz w:val="28"/>
          <w:szCs w:val="28"/>
        </w:rPr>
        <w:t>реестр недвижимости (ЕГРН).</w:t>
      </w:r>
    </w:p>
    <w:p w14:paraId="73EE9171" w14:textId="77777777" w:rsidR="00930E7A" w:rsidRPr="00930E7A" w:rsidRDefault="00930E7A" w:rsidP="00F372D7">
      <w:pPr>
        <w:rPr>
          <w:rFonts w:ascii="Times New Roman" w:hAnsi="Times New Roman" w:cs="Times New Roman"/>
          <w:sz w:val="28"/>
          <w:szCs w:val="28"/>
        </w:rPr>
      </w:pPr>
    </w:p>
    <w:sectPr w:rsidR="00930E7A" w:rsidRPr="00930E7A" w:rsidSect="00B635B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89"/>
    <w:rsid w:val="00051BCC"/>
    <w:rsid w:val="000B3289"/>
    <w:rsid w:val="00382432"/>
    <w:rsid w:val="003E7314"/>
    <w:rsid w:val="007460A5"/>
    <w:rsid w:val="00930E7A"/>
    <w:rsid w:val="009A3320"/>
    <w:rsid w:val="00B635B5"/>
    <w:rsid w:val="00F37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BCF6"/>
  <w15:chartTrackingRefBased/>
  <w15:docId w15:val="{A22603C4-A062-44A3-97FF-6BC0A58E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35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Садулла Газиев</dc:creator>
  <cp:keywords/>
  <dc:description/>
  <cp:lastModifiedBy>Пользователь</cp:lastModifiedBy>
  <cp:revision>4</cp:revision>
  <dcterms:created xsi:type="dcterms:W3CDTF">2024-09-17T12:25:00Z</dcterms:created>
  <dcterms:modified xsi:type="dcterms:W3CDTF">2024-09-17T12:30:00Z</dcterms:modified>
</cp:coreProperties>
</file>